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4B" w:rsidRPr="00AE384B" w:rsidRDefault="00AE384B" w:rsidP="00AE384B">
      <w:pPr>
        <w:pStyle w:val="2"/>
        <w:keepNext w:val="0"/>
        <w:widowControl w:val="0"/>
        <w:spacing w:line="276" w:lineRule="auto"/>
        <w:rPr>
          <w:rFonts w:eastAsia="Andale Sans UI"/>
          <w:b/>
          <w:sz w:val="30"/>
          <w:szCs w:val="30"/>
        </w:rPr>
      </w:pPr>
      <w:r w:rsidRPr="00AE384B">
        <w:rPr>
          <w:rFonts w:eastAsia="Andale Sans UI"/>
          <w:b/>
          <w:sz w:val="30"/>
          <w:szCs w:val="30"/>
          <w:lang w:val="en-US"/>
        </w:rPr>
        <w:t>XVIII</w:t>
      </w:r>
      <w:r w:rsidRPr="00AE384B">
        <w:rPr>
          <w:rFonts w:eastAsia="Andale Sans UI"/>
          <w:b/>
          <w:sz w:val="30"/>
          <w:szCs w:val="30"/>
        </w:rPr>
        <w:t>. Целевые значения критериев доступности и качества медицинской помощи, оказываемой в рамках Программы</w:t>
      </w:r>
    </w:p>
    <w:p w:rsidR="00AE384B" w:rsidRPr="00C57D9A" w:rsidRDefault="00AE384B" w:rsidP="00AE384B">
      <w:pPr>
        <w:widowControl w:val="0"/>
        <w:jc w:val="center"/>
        <w:rPr>
          <w:rFonts w:eastAsia="Andale Sans UI"/>
          <w:kern w:val="1"/>
          <w:sz w:val="30"/>
          <w:szCs w:val="30"/>
        </w:rPr>
      </w:pP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1</w:t>
      </w:r>
      <w:r>
        <w:rPr>
          <w:rFonts w:eastAsia="Andale Sans UI"/>
          <w:kern w:val="1"/>
          <w:sz w:val="30"/>
          <w:szCs w:val="30"/>
        </w:rPr>
        <w:t>20</w:t>
      </w:r>
      <w:r w:rsidRPr="00162E88">
        <w:rPr>
          <w:rFonts w:eastAsia="Andale Sans UI"/>
          <w:kern w:val="1"/>
          <w:sz w:val="30"/>
          <w:szCs w:val="30"/>
        </w:rPr>
        <w:t>. Критериями качества медицинской помощи являются: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</w:t>
      </w:r>
      <w:proofErr w:type="gramStart"/>
      <w:r w:rsidRPr="00162E88">
        <w:rPr>
          <w:rFonts w:eastAsia="Andale Sans UI"/>
          <w:kern w:val="1"/>
          <w:sz w:val="30"/>
          <w:szCs w:val="30"/>
        </w:rPr>
        <w:t>умерших</w:t>
      </w:r>
      <w:proofErr w:type="gramEnd"/>
      <w:r w:rsidRPr="00162E88">
        <w:rPr>
          <w:rFonts w:eastAsia="Andale Sans UI"/>
          <w:kern w:val="1"/>
          <w:sz w:val="30"/>
          <w:szCs w:val="30"/>
        </w:rPr>
        <w:t xml:space="preserve"> в трудоспособном возрасте на дому в общем количестве умерших в трудоспособном возрасте;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материнская смертность (на 100 тыс. человек, родившихся живыми);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младенческая смертность, в том числе в городской и сельской местности (на 1000 человек, родившихся живыми);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</w:t>
      </w:r>
      <w:proofErr w:type="gramStart"/>
      <w:r w:rsidRPr="00162E88">
        <w:rPr>
          <w:rFonts w:eastAsia="Andale Sans UI"/>
          <w:kern w:val="1"/>
          <w:sz w:val="30"/>
          <w:szCs w:val="30"/>
        </w:rPr>
        <w:t>умерших</w:t>
      </w:r>
      <w:proofErr w:type="gramEnd"/>
      <w:r w:rsidRPr="00162E88">
        <w:rPr>
          <w:rFonts w:eastAsia="Andale Sans UI"/>
          <w:kern w:val="1"/>
          <w:sz w:val="30"/>
          <w:szCs w:val="30"/>
        </w:rPr>
        <w:t xml:space="preserve"> в возрасте до 1 года на дому в общем количестве умерших в возрасте до 1 года;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смертность детей в возрасте 0 - 4 лет (на 1000 человек, родившихся живыми);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смертность населения, в том числе городского и сельского населения</w:t>
      </w:r>
      <w:r w:rsidRPr="00162E88">
        <w:rPr>
          <w:sz w:val="30"/>
          <w:szCs w:val="30"/>
        </w:rPr>
        <w:t xml:space="preserve"> (</w:t>
      </w:r>
      <w:r w:rsidRPr="00162E88">
        <w:rPr>
          <w:rFonts w:eastAsia="Andale Sans UI"/>
          <w:kern w:val="1"/>
          <w:sz w:val="30"/>
          <w:szCs w:val="30"/>
        </w:rPr>
        <w:t>число умерших на 1000 человек населения);</w:t>
      </w:r>
    </w:p>
    <w:p w:rsidR="00AE384B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умерших в возрасте 0 - 4 лет на дому в общем количестве умерших в возрасте 0 - 4 лет;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смертность детей в возрасте 0 - 17 лет (на 100 тыс. человек населения соответствующего возраста);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умерших в возрасте 0 - 17 лет на дому в общем количестве умерших в возрасте 0 - 17 лет;</w:t>
      </w:r>
    </w:p>
    <w:p w:rsidR="00AE384B" w:rsidRPr="00B80904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AE384B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 xml:space="preserve">доля впервые выявленных заболеваний при профилактических медицинских осмотрах, в том числе в </w:t>
      </w:r>
      <w:r w:rsidRPr="00B80904">
        <w:rPr>
          <w:rFonts w:eastAsia="Andale Sans UI"/>
          <w:kern w:val="1"/>
          <w:sz w:val="30"/>
          <w:szCs w:val="30"/>
        </w:rPr>
        <w:lastRenderedPageBreak/>
        <w:t>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AE384B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лиц, инфицированных вирусом иммунодефицита человека, получающих </w:t>
      </w:r>
      <w:proofErr w:type="spellStart"/>
      <w:r w:rsidRPr="00162E88">
        <w:rPr>
          <w:rFonts w:eastAsia="Andale Sans UI"/>
          <w:kern w:val="1"/>
          <w:sz w:val="30"/>
          <w:szCs w:val="30"/>
        </w:rPr>
        <w:t>антиретровирусную</w:t>
      </w:r>
      <w:proofErr w:type="spellEnd"/>
      <w:r w:rsidRPr="00162E88">
        <w:rPr>
          <w:rFonts w:eastAsia="Andale Sans UI"/>
          <w:kern w:val="1"/>
          <w:sz w:val="30"/>
          <w:szCs w:val="30"/>
        </w:rPr>
        <w:t xml:space="preserve"> терапию, в общем количестве лиц, инфицированных вирусом иммунодефицита человека;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пациентов с инфарктом миокарда, госпитализированных </w:t>
      </w:r>
      <w:proofErr w:type="gramStart"/>
      <w:r w:rsidRPr="00162E88">
        <w:rPr>
          <w:rFonts w:eastAsia="Andale Sans UI"/>
          <w:kern w:val="1"/>
          <w:sz w:val="30"/>
          <w:szCs w:val="30"/>
        </w:rPr>
        <w:t>в первые</w:t>
      </w:r>
      <w:proofErr w:type="gramEnd"/>
      <w:r w:rsidRPr="00162E88">
        <w:rPr>
          <w:rFonts w:eastAsia="Andale Sans UI"/>
          <w:kern w:val="1"/>
          <w:sz w:val="30"/>
          <w:szCs w:val="30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пациентов с острым инфарктом миокарда, которым проведено </w:t>
      </w:r>
      <w:proofErr w:type="spellStart"/>
      <w:r w:rsidRPr="00162E88">
        <w:rPr>
          <w:rFonts w:eastAsia="Andale Sans UI"/>
          <w:kern w:val="1"/>
          <w:sz w:val="30"/>
          <w:szCs w:val="30"/>
        </w:rPr>
        <w:t>стентирование</w:t>
      </w:r>
      <w:proofErr w:type="spellEnd"/>
      <w:r w:rsidRPr="00162E88">
        <w:rPr>
          <w:rFonts w:eastAsia="Andale Sans UI"/>
          <w:kern w:val="1"/>
          <w:sz w:val="30"/>
          <w:szCs w:val="30"/>
        </w:rPr>
        <w:t xml:space="preserve"> коронарных артерий, в общем количестве пациентов с острым инфарктом миокарда, имеющих показания к ее проведению;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пациентов с острым и повторным инфарктом миокарда, которым выездной бригадой скорой </w:t>
      </w:r>
      <w:r w:rsidRPr="00162E88">
        <w:rPr>
          <w:rFonts w:eastAsia="Andale Sans UI"/>
          <w:kern w:val="1"/>
          <w:sz w:val="30"/>
          <w:szCs w:val="30"/>
        </w:rPr>
        <w:lastRenderedPageBreak/>
        <w:t xml:space="preserve">медицинской помощи </w:t>
      </w:r>
      <w:proofErr w:type="gramStart"/>
      <w:r w:rsidRPr="00162E88">
        <w:rPr>
          <w:rFonts w:eastAsia="Andale Sans UI"/>
          <w:kern w:val="1"/>
          <w:sz w:val="30"/>
          <w:szCs w:val="30"/>
        </w:rPr>
        <w:t>проведен</w:t>
      </w:r>
      <w:proofErr w:type="gramEnd"/>
      <w:r w:rsidRPr="00162E88">
        <w:rPr>
          <w:rFonts w:eastAsia="Andale Sans UI"/>
          <w:kern w:val="1"/>
          <w:sz w:val="30"/>
          <w:szCs w:val="30"/>
        </w:rPr>
        <w:t xml:space="preserve"> </w:t>
      </w:r>
      <w:proofErr w:type="spellStart"/>
      <w:r w:rsidRPr="00162E88">
        <w:rPr>
          <w:rFonts w:eastAsia="Andale Sans UI"/>
          <w:kern w:val="1"/>
          <w:sz w:val="30"/>
          <w:szCs w:val="30"/>
        </w:rPr>
        <w:t>тромболизис</w:t>
      </w:r>
      <w:proofErr w:type="spellEnd"/>
      <w:r w:rsidRPr="00162E88">
        <w:rPr>
          <w:rFonts w:eastAsia="Andale Sans UI"/>
          <w:kern w:val="1"/>
          <w:sz w:val="30"/>
          <w:szCs w:val="30"/>
        </w:rPr>
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пациентов с острым инфарктом миокарда, которым проведена </w:t>
      </w:r>
      <w:proofErr w:type="spellStart"/>
      <w:r w:rsidRPr="00162E88">
        <w:rPr>
          <w:rFonts w:eastAsia="Andale Sans UI"/>
          <w:kern w:val="1"/>
          <w:sz w:val="30"/>
          <w:szCs w:val="30"/>
        </w:rPr>
        <w:t>тромболитическая</w:t>
      </w:r>
      <w:proofErr w:type="spellEnd"/>
      <w:r w:rsidRPr="00162E88">
        <w:rPr>
          <w:rFonts w:eastAsia="Andale Sans UI"/>
          <w:kern w:val="1"/>
          <w:sz w:val="30"/>
          <w:szCs w:val="30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162E88">
        <w:rPr>
          <w:rFonts w:eastAsia="Andale Sans UI"/>
          <w:kern w:val="1"/>
          <w:sz w:val="30"/>
          <w:szCs w:val="30"/>
        </w:rPr>
        <w:t>в первые</w:t>
      </w:r>
      <w:proofErr w:type="gramEnd"/>
      <w:r w:rsidRPr="00162E88">
        <w:rPr>
          <w:rFonts w:eastAsia="Andale Sans UI"/>
          <w:kern w:val="1"/>
          <w:sz w:val="30"/>
          <w:szCs w:val="30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пациентов с острым ишемическим инсультом, которым проведена </w:t>
      </w:r>
      <w:proofErr w:type="spellStart"/>
      <w:r w:rsidRPr="00162E88">
        <w:rPr>
          <w:rFonts w:eastAsia="Andale Sans UI"/>
          <w:kern w:val="1"/>
          <w:sz w:val="30"/>
          <w:szCs w:val="30"/>
        </w:rPr>
        <w:t>тромболитическая</w:t>
      </w:r>
      <w:proofErr w:type="spellEnd"/>
      <w:r w:rsidRPr="00162E88">
        <w:rPr>
          <w:rFonts w:eastAsia="Andale Sans UI"/>
          <w:kern w:val="1"/>
          <w:sz w:val="30"/>
          <w:szCs w:val="30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162E88">
        <w:rPr>
          <w:rFonts w:eastAsia="Andale Sans UI"/>
          <w:kern w:val="1"/>
          <w:sz w:val="30"/>
          <w:szCs w:val="30"/>
        </w:rPr>
        <w:t>в первые</w:t>
      </w:r>
      <w:proofErr w:type="gramEnd"/>
      <w:r w:rsidRPr="00162E88">
        <w:rPr>
          <w:rFonts w:eastAsia="Andale Sans UI"/>
          <w:kern w:val="1"/>
          <w:sz w:val="30"/>
          <w:szCs w:val="30"/>
        </w:rPr>
        <w:t xml:space="preserve"> 6 часов от начала заболевания;</w:t>
      </w:r>
    </w:p>
    <w:p w:rsidR="00AE384B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пациентов с острым ишемическим инсультом, которым проведена </w:t>
      </w:r>
      <w:proofErr w:type="spellStart"/>
      <w:r w:rsidRPr="00162E88">
        <w:rPr>
          <w:rFonts w:eastAsia="Andale Sans UI"/>
          <w:kern w:val="1"/>
          <w:sz w:val="30"/>
          <w:szCs w:val="30"/>
        </w:rPr>
        <w:t>тромболитическая</w:t>
      </w:r>
      <w:proofErr w:type="spellEnd"/>
      <w:r w:rsidRPr="00162E88">
        <w:rPr>
          <w:rFonts w:eastAsia="Andale Sans UI"/>
          <w:kern w:val="1"/>
          <w:sz w:val="30"/>
          <w:szCs w:val="30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AE384B" w:rsidRPr="00B80904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1</w:t>
      </w:r>
      <w:r>
        <w:rPr>
          <w:rFonts w:eastAsia="Andale Sans UI"/>
          <w:kern w:val="1"/>
          <w:sz w:val="30"/>
          <w:szCs w:val="30"/>
        </w:rPr>
        <w:t>21.</w:t>
      </w:r>
      <w:r w:rsidRPr="00162E88">
        <w:rPr>
          <w:sz w:val="30"/>
          <w:szCs w:val="30"/>
        </w:rPr>
        <w:t xml:space="preserve"> </w:t>
      </w:r>
      <w:r w:rsidRPr="00162E88">
        <w:rPr>
          <w:rFonts w:eastAsia="Andale Sans UI"/>
          <w:kern w:val="1"/>
          <w:sz w:val="30"/>
          <w:szCs w:val="30"/>
        </w:rPr>
        <w:t>Критериями доступности медицинской помощи являются: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обеспеченность населения врачами (на 10 тыс. человек населения, включая городское и сельское </w:t>
      </w:r>
      <w:r w:rsidRPr="00162E88">
        <w:rPr>
          <w:rFonts w:eastAsia="Andale Sans UI"/>
          <w:kern w:val="1"/>
          <w:sz w:val="30"/>
          <w:szCs w:val="30"/>
        </w:rPr>
        <w:lastRenderedPageBreak/>
        <w:t>население), в том числе оказывающими медицинскую помощь в амбулаторных и стационарных условиях;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обеспеченность населения средним медицинским персоналом </w:t>
      </w:r>
      <w:r>
        <w:rPr>
          <w:rFonts w:eastAsia="Andale Sans UI"/>
          <w:kern w:val="1"/>
          <w:sz w:val="30"/>
          <w:szCs w:val="30"/>
        </w:rPr>
        <w:t xml:space="preserve">                </w:t>
      </w:r>
      <w:r w:rsidRPr="00162E88">
        <w:rPr>
          <w:rFonts w:eastAsia="Andale Sans UI"/>
          <w:kern w:val="1"/>
          <w:sz w:val="30"/>
          <w:szCs w:val="30"/>
        </w:rPr>
        <w:t>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расходов на оказание медицинской помощи в условиях дневных стационаров в общих расходах на Программу;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расходов </w:t>
      </w:r>
      <w:proofErr w:type="gramStart"/>
      <w:r w:rsidRPr="00162E88">
        <w:rPr>
          <w:rFonts w:eastAsia="Andale Sans UI"/>
          <w:kern w:val="1"/>
          <w:sz w:val="30"/>
          <w:szCs w:val="30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162E88">
        <w:rPr>
          <w:rFonts w:eastAsia="Andale Sans UI"/>
          <w:kern w:val="1"/>
          <w:sz w:val="30"/>
          <w:szCs w:val="30"/>
        </w:rPr>
        <w:t>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охвата диспансеризацией взрослого населения, подлежащего диспансеризации;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охвата профилактическими медицинскими осмотрами взрослого населения, в том числе городских и сельских жителей;</w:t>
      </w:r>
    </w:p>
    <w:p w:rsidR="00AE384B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охвата профилактическими медицинскими осмотрами детей, в том числе городских и сельских жителей;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 xml:space="preserve">доля фельдшерско-акушерских пунктов и фельдшерских пунктов, находящихся в аварийном состоянии и </w:t>
      </w:r>
      <w:r w:rsidRPr="00162E88">
        <w:rPr>
          <w:rFonts w:eastAsia="Andale Sans UI"/>
          <w:kern w:val="1"/>
          <w:sz w:val="30"/>
          <w:szCs w:val="30"/>
        </w:rPr>
        <w:lastRenderedPageBreak/>
        <w:t>требующих капитального ремонта, в общем количестве фельдшерско-акушерских пунктов и фельдшерских пунктов;</w:t>
      </w:r>
    </w:p>
    <w:p w:rsidR="00AE384B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AE384B" w:rsidRPr="00B80904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число пациентов, получивших паллиативную медицинскую помощь по месту жительства, в том числе на дому;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B80904">
        <w:rPr>
          <w:rFonts w:eastAsia="Andale Sans UI"/>
          <w:kern w:val="1"/>
          <w:sz w:val="30"/>
          <w:szCs w:val="30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доля женщин, которым проведено экстракорпоральное оплодотворение в общем количестве женщин с бесплодием.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1</w:t>
      </w:r>
      <w:r>
        <w:rPr>
          <w:rFonts w:eastAsia="Andale Sans UI"/>
          <w:kern w:val="1"/>
          <w:sz w:val="30"/>
          <w:szCs w:val="30"/>
        </w:rPr>
        <w:t>22</w:t>
      </w:r>
      <w:r w:rsidRPr="00162E88">
        <w:rPr>
          <w:rFonts w:eastAsia="Andale Sans UI"/>
          <w:kern w:val="1"/>
          <w:sz w:val="30"/>
          <w:szCs w:val="30"/>
        </w:rPr>
        <w:t>. В Псковской области проводится оценка эффективности деятельности медицинских организаций, в том числе расположенных                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AE384B" w:rsidRPr="00162E88" w:rsidRDefault="00AE384B" w:rsidP="00AE384B">
      <w:pPr>
        <w:widowControl w:val="0"/>
        <w:spacing w:line="288" w:lineRule="auto"/>
        <w:ind w:firstLine="709"/>
        <w:jc w:val="both"/>
        <w:rPr>
          <w:rFonts w:eastAsia="Andale Sans UI"/>
          <w:kern w:val="1"/>
          <w:sz w:val="30"/>
          <w:szCs w:val="30"/>
        </w:rPr>
      </w:pPr>
      <w:r w:rsidRPr="00162E88">
        <w:rPr>
          <w:rFonts w:eastAsia="Andale Sans UI"/>
          <w:kern w:val="1"/>
          <w:sz w:val="30"/>
          <w:szCs w:val="30"/>
        </w:rPr>
        <w:t>1</w:t>
      </w:r>
      <w:r>
        <w:rPr>
          <w:rFonts w:eastAsia="Andale Sans UI"/>
          <w:kern w:val="1"/>
          <w:sz w:val="30"/>
          <w:szCs w:val="30"/>
        </w:rPr>
        <w:t>23</w:t>
      </w:r>
      <w:r w:rsidRPr="00162E88">
        <w:rPr>
          <w:rFonts w:eastAsia="Andale Sans UI"/>
          <w:kern w:val="1"/>
          <w:sz w:val="30"/>
          <w:szCs w:val="30"/>
        </w:rPr>
        <w:t>. Целевые значения критериев доступности и качества медицинской помощи, оказываемой в рамках Программы,</w:t>
      </w:r>
      <w:r w:rsidRPr="00162E88">
        <w:rPr>
          <w:sz w:val="30"/>
          <w:szCs w:val="30"/>
        </w:rPr>
        <w:t xml:space="preserve"> </w:t>
      </w:r>
      <w:r w:rsidRPr="00162E88">
        <w:rPr>
          <w:rFonts w:eastAsia="Andale Sans UI"/>
          <w:kern w:val="1"/>
          <w:sz w:val="30"/>
          <w:szCs w:val="30"/>
        </w:rPr>
        <w:t>приведены                   в приложении № 7 к Программе.</w:t>
      </w:r>
    </w:p>
    <w:p w:rsidR="00AE384B" w:rsidRPr="0086138A" w:rsidRDefault="00AE384B" w:rsidP="00AE384B">
      <w:pPr>
        <w:ind w:left="8789"/>
        <w:jc w:val="center"/>
        <w:rPr>
          <w:sz w:val="28"/>
          <w:szCs w:val="28"/>
        </w:rPr>
      </w:pPr>
      <w:r w:rsidRPr="0086138A">
        <w:rPr>
          <w:sz w:val="28"/>
          <w:szCs w:val="28"/>
        </w:rPr>
        <w:t>Приложение № 7</w:t>
      </w:r>
    </w:p>
    <w:p w:rsidR="00AE384B" w:rsidRPr="0086138A" w:rsidRDefault="00AE384B" w:rsidP="00AE384B">
      <w:pPr>
        <w:ind w:left="8789"/>
        <w:jc w:val="both"/>
        <w:rPr>
          <w:sz w:val="28"/>
          <w:szCs w:val="28"/>
        </w:rPr>
      </w:pPr>
      <w:r w:rsidRPr="0086138A">
        <w:rPr>
          <w:sz w:val="28"/>
          <w:szCs w:val="28"/>
        </w:rPr>
        <w:t xml:space="preserve">к </w:t>
      </w:r>
      <w:r w:rsidRPr="0086138A">
        <w:rPr>
          <w:bCs/>
          <w:sz w:val="28"/>
          <w:szCs w:val="28"/>
        </w:rPr>
        <w:t>территориальной программе государственных гарантий бесплатного оказания гражданам медицинской помощи в Псковской области                   на 20</w:t>
      </w:r>
      <w:r>
        <w:rPr>
          <w:bCs/>
          <w:sz w:val="28"/>
          <w:szCs w:val="28"/>
        </w:rPr>
        <w:t>20</w:t>
      </w:r>
      <w:r w:rsidRPr="0086138A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1</w:t>
      </w:r>
      <w:r w:rsidRPr="0086138A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86138A">
        <w:rPr>
          <w:bCs/>
          <w:sz w:val="28"/>
          <w:szCs w:val="28"/>
        </w:rPr>
        <w:t xml:space="preserve"> годов</w:t>
      </w:r>
    </w:p>
    <w:p w:rsidR="00AE384B" w:rsidRPr="0086138A" w:rsidRDefault="00AE384B" w:rsidP="00AE384B">
      <w:pPr>
        <w:spacing w:line="216" w:lineRule="auto"/>
        <w:jc w:val="right"/>
        <w:rPr>
          <w:sz w:val="28"/>
          <w:szCs w:val="28"/>
          <w:lang w:eastAsia="en-US"/>
        </w:rPr>
      </w:pPr>
    </w:p>
    <w:p w:rsidR="00AE384B" w:rsidRPr="0086138A" w:rsidRDefault="00AE384B" w:rsidP="00AE384B">
      <w:pPr>
        <w:spacing w:line="216" w:lineRule="auto"/>
        <w:jc w:val="right"/>
        <w:rPr>
          <w:sz w:val="28"/>
          <w:szCs w:val="28"/>
          <w:lang w:eastAsia="en-US"/>
        </w:rPr>
      </w:pPr>
    </w:p>
    <w:p w:rsidR="00AE384B" w:rsidRPr="0086138A" w:rsidRDefault="00AE384B" w:rsidP="00AE384B">
      <w:pPr>
        <w:jc w:val="center"/>
        <w:outlineLvl w:val="0"/>
        <w:rPr>
          <w:b/>
          <w:sz w:val="28"/>
          <w:szCs w:val="28"/>
          <w:lang w:eastAsia="en-US"/>
        </w:rPr>
      </w:pPr>
      <w:r w:rsidRPr="0086138A">
        <w:rPr>
          <w:b/>
          <w:sz w:val="28"/>
          <w:szCs w:val="28"/>
          <w:lang w:eastAsia="en-US"/>
        </w:rPr>
        <w:t xml:space="preserve">ЦЕЛЕВЫЕ ЗНАЧЕНИЯ </w:t>
      </w:r>
    </w:p>
    <w:p w:rsidR="00AE384B" w:rsidRPr="0086138A" w:rsidRDefault="00AE384B" w:rsidP="00AE384B">
      <w:pPr>
        <w:jc w:val="center"/>
        <w:rPr>
          <w:b/>
          <w:sz w:val="28"/>
          <w:szCs w:val="28"/>
          <w:lang w:eastAsia="en-US"/>
        </w:rPr>
      </w:pPr>
      <w:r w:rsidRPr="0086138A">
        <w:rPr>
          <w:b/>
          <w:sz w:val="28"/>
          <w:szCs w:val="28"/>
          <w:lang w:eastAsia="en-US"/>
        </w:rPr>
        <w:t>критериев доступности и качества медицинской помощи, оказываемой в рамках Программы</w:t>
      </w:r>
    </w:p>
    <w:p w:rsidR="00AE384B" w:rsidRPr="0086138A" w:rsidRDefault="00AE384B" w:rsidP="00AE384B">
      <w:pPr>
        <w:jc w:val="center"/>
        <w:rPr>
          <w:sz w:val="10"/>
          <w:szCs w:val="10"/>
          <w:lang w:eastAsia="en-US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6426"/>
        <w:gridCol w:w="3707"/>
        <w:gridCol w:w="1424"/>
        <w:gridCol w:w="1424"/>
        <w:gridCol w:w="1415"/>
      </w:tblGrid>
      <w:tr w:rsidR="00AE384B" w:rsidRPr="00592377" w:rsidTr="00D6535E">
        <w:trPr>
          <w:trHeight w:val="20"/>
          <w:tblHeader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92377">
              <w:rPr>
                <w:lang w:eastAsia="en-US"/>
              </w:rPr>
              <w:t>п</w:t>
            </w:r>
            <w:proofErr w:type="spellEnd"/>
            <w:proofErr w:type="gramEnd"/>
            <w:r w:rsidRPr="00592377">
              <w:rPr>
                <w:lang w:eastAsia="en-US"/>
              </w:rPr>
              <w:t>/</w:t>
            </w:r>
            <w:proofErr w:type="spellStart"/>
            <w:r w:rsidRPr="00592377">
              <w:rPr>
                <w:lang w:eastAsia="en-US"/>
              </w:rPr>
              <w:t>п</w:t>
            </w:r>
            <w:proofErr w:type="spellEnd"/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Критерии доступности и качества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Единица измерения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Целевое значение                на 20</w:t>
            </w:r>
            <w:r>
              <w:rPr>
                <w:lang w:eastAsia="en-US"/>
              </w:rPr>
              <w:t>20</w:t>
            </w:r>
            <w:r w:rsidRPr="00592377">
              <w:rPr>
                <w:lang w:eastAsia="en-US"/>
              </w:rPr>
              <w:t xml:space="preserve"> год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Целевое значение                на 202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 xml:space="preserve"> год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Целевое значение                на 202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 xml:space="preserve"> год</w:t>
            </w:r>
          </w:p>
        </w:tc>
      </w:tr>
      <w:tr w:rsidR="00AE384B" w:rsidRPr="00592377" w:rsidTr="00D6535E">
        <w:trPr>
          <w:trHeight w:val="20"/>
        </w:trPr>
        <w:tc>
          <w:tcPr>
            <w:tcW w:w="5000" w:type="pct"/>
            <w:gridSpan w:val="6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Критерии качества медицинской помощи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Удовлетворенность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 от числа опрошенных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63,0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64,0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64,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городское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 от числа опрошенных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67,6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68,1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68,</w:t>
            </w:r>
            <w:r>
              <w:rPr>
                <w:lang w:eastAsia="en-US"/>
              </w:rPr>
              <w:t>3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 от числа опрошенных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50,8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51,2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51,</w:t>
            </w:r>
            <w:r>
              <w:rPr>
                <w:lang w:eastAsia="en-US"/>
              </w:rPr>
              <w:t>4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63,0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</w:t>
            </w:r>
            <w:proofErr w:type="gramStart"/>
            <w:r w:rsidRPr="00592377">
              <w:rPr>
                <w:lang w:eastAsia="en-US"/>
              </w:rPr>
              <w:t>умерших</w:t>
            </w:r>
            <w:proofErr w:type="gramEnd"/>
            <w:r w:rsidRPr="00592377">
              <w:rPr>
                <w:lang w:eastAsia="en-US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16,25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Материнская смертность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 тыс.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Младенческая смертность, в том числе в городской и сельской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4,8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</w:t>
            </w:r>
            <w:r>
              <w:rPr>
                <w:lang w:eastAsia="en-US"/>
              </w:rPr>
              <w:t>7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городской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сельской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13,5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13,3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13,</w:t>
            </w:r>
            <w:r>
              <w:rPr>
                <w:lang w:eastAsia="en-US"/>
              </w:rPr>
              <w:t>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</w:t>
            </w:r>
            <w:proofErr w:type="gramStart"/>
            <w:r w:rsidRPr="00592377">
              <w:rPr>
                <w:lang w:eastAsia="en-US"/>
              </w:rPr>
              <w:t>умерших</w:t>
            </w:r>
            <w:proofErr w:type="gramEnd"/>
            <w:r w:rsidRPr="00592377">
              <w:rPr>
                <w:lang w:eastAsia="en-US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23,0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21,0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детей в возрасте 0 - 4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на 1000 </w:t>
            </w:r>
            <w:proofErr w:type="gramStart"/>
            <w:r w:rsidRPr="00592377">
              <w:rPr>
                <w:lang w:eastAsia="en-US"/>
              </w:rPr>
              <w:t>родившихся</w:t>
            </w:r>
            <w:proofErr w:type="gramEnd"/>
            <w:r w:rsidRPr="00592377">
              <w:rPr>
                <w:lang w:eastAsia="en-US"/>
              </w:rPr>
              <w:t xml:space="preserve"> живыми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7,1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6,9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6,</w:t>
            </w:r>
            <w:r>
              <w:rPr>
                <w:lang w:eastAsia="en-US"/>
              </w:rPr>
              <w:t>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 1000 человек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15,65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15,6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городское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 на 1000 человек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12,5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12,4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12,4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  <w:r w:rsidRPr="00592377">
              <w:t xml:space="preserve"> </w:t>
            </w:r>
            <w:r w:rsidRPr="00592377">
              <w:rPr>
                <w:lang w:eastAsia="en-US"/>
              </w:rPr>
              <w:t>население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число умерших на 1000 человек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25,85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умерших в возрасте 0 – 4 лет на дому в общем количестве умерших в возрасте 0 – 4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10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Смертность детей в возрасте 0 - 17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51,5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51,4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51,</w:t>
            </w:r>
            <w:r>
              <w:rPr>
                <w:lang w:eastAsia="en-US"/>
              </w:rPr>
              <w:t>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33,0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34,0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34,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рамках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22,0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22,7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29,0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рамках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19,3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20,</w:t>
            </w:r>
            <w:r>
              <w:rPr>
                <w:lang w:eastAsia="en-US"/>
              </w:rPr>
              <w:t>6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в рамках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26,7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33,3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55,6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56,1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56,</w:t>
            </w:r>
            <w:r>
              <w:rPr>
                <w:lang w:eastAsia="en-US"/>
              </w:rPr>
              <w:t>6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54,5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55,6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55,</w:t>
            </w:r>
            <w:r>
              <w:rPr>
                <w:lang w:eastAsia="en-US"/>
              </w:rPr>
              <w:t>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со злокачественными новообразованиями, взятых под диспансерное наблюдение, в общем количестве </w:t>
            </w:r>
            <w:r w:rsidRPr="00592377">
              <w:rPr>
                <w:lang w:eastAsia="en-US"/>
              </w:rPr>
              <w:lastRenderedPageBreak/>
              <w:t>пациентов со злокачественными новообразованиями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90,0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18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17,0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18,0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18,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592377">
              <w:rPr>
                <w:lang w:eastAsia="en-US"/>
              </w:rPr>
              <w:t>антиретровирусную</w:t>
            </w:r>
            <w:proofErr w:type="spellEnd"/>
            <w:r w:rsidRPr="00592377">
              <w:rPr>
                <w:lang w:eastAsia="en-US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0,3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0,3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0,3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 w:rsidRPr="00592377">
              <w:rPr>
                <w:lang w:eastAsia="en-US"/>
              </w:rPr>
              <w:t>в первые</w:t>
            </w:r>
            <w:proofErr w:type="gramEnd"/>
            <w:r w:rsidRPr="00592377">
              <w:rPr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30,</w:t>
            </w:r>
            <w:r>
              <w:rPr>
                <w:lang w:eastAsia="en-US"/>
              </w:rPr>
              <w:t>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92377">
              <w:rPr>
                <w:lang w:eastAsia="en-US"/>
              </w:rPr>
              <w:t>стентирование</w:t>
            </w:r>
            <w:proofErr w:type="spellEnd"/>
            <w:r w:rsidRPr="00592377">
              <w:rPr>
                <w:lang w:eastAsia="en-US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52,5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55,0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</w:t>
            </w:r>
            <w:r>
              <w:rPr>
                <w:lang w:eastAsia="en-US"/>
              </w:rPr>
              <w:t>6</w:t>
            </w:r>
            <w:r w:rsidRPr="00592377">
              <w:rPr>
                <w:lang w:eastAsia="en-US"/>
              </w:rPr>
              <w:t>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592377">
              <w:rPr>
                <w:lang w:eastAsia="en-US"/>
              </w:rPr>
              <w:t>проведен</w:t>
            </w:r>
            <w:proofErr w:type="gramEnd"/>
            <w:r w:rsidRPr="00592377">
              <w:rPr>
                <w:lang w:eastAsia="en-US"/>
              </w:rPr>
              <w:t xml:space="preserve"> </w:t>
            </w:r>
            <w:proofErr w:type="spellStart"/>
            <w:r w:rsidRPr="00592377">
              <w:rPr>
                <w:lang w:eastAsia="en-US"/>
              </w:rPr>
              <w:t>тромболизис</w:t>
            </w:r>
            <w:proofErr w:type="spellEnd"/>
            <w:r w:rsidRPr="00592377">
              <w:rPr>
                <w:lang w:eastAsia="en-US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2,25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2,4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92377">
              <w:rPr>
                <w:lang w:eastAsia="en-US"/>
              </w:rPr>
              <w:t>тромболитическая</w:t>
            </w:r>
            <w:proofErr w:type="spellEnd"/>
            <w:r w:rsidRPr="00592377">
              <w:rPr>
                <w:lang w:eastAsia="en-US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24,0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24,5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92377">
              <w:rPr>
                <w:lang w:eastAsia="en-US"/>
              </w:rPr>
              <w:t>в первые</w:t>
            </w:r>
            <w:proofErr w:type="gramEnd"/>
            <w:r w:rsidRPr="00592377">
              <w:rPr>
                <w:lang w:eastAsia="en-US"/>
              </w:rPr>
              <w:t xml:space="preserve"> 6 часов от начала </w:t>
            </w:r>
            <w:r w:rsidRPr="00592377">
              <w:rPr>
                <w:lang w:eastAsia="en-US"/>
              </w:rPr>
              <w:lastRenderedPageBreak/>
              <w:t>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31,0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31,5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26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92377">
              <w:rPr>
                <w:lang w:eastAsia="en-US"/>
              </w:rPr>
              <w:t>тромболитическая</w:t>
            </w:r>
            <w:proofErr w:type="spellEnd"/>
            <w:r w:rsidRPr="00592377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92377">
              <w:rPr>
                <w:lang w:eastAsia="en-US"/>
              </w:rPr>
              <w:t>в первые</w:t>
            </w:r>
            <w:proofErr w:type="gramEnd"/>
            <w:r w:rsidRPr="00592377">
              <w:rPr>
                <w:lang w:eastAsia="en-US"/>
              </w:rPr>
              <w:t xml:space="preserve"> 6 часов от начала заболевания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</w:t>
            </w:r>
            <w:r>
              <w:rPr>
                <w:lang w:eastAsia="en-US"/>
              </w:rPr>
              <w:t>4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92377">
              <w:rPr>
                <w:lang w:eastAsia="en-US"/>
              </w:rPr>
              <w:t>тромболитическая</w:t>
            </w:r>
            <w:proofErr w:type="spellEnd"/>
            <w:r w:rsidRPr="00592377">
              <w:rPr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3,7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3,75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3,</w:t>
            </w:r>
            <w:r>
              <w:rPr>
                <w:lang w:eastAsia="en-US"/>
              </w:rPr>
              <w:t>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92377">
              <w:rPr>
                <w:lang w:eastAsia="en-US"/>
              </w:rPr>
              <w:t>0,0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50,0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92377">
              <w:rPr>
                <w:lang w:eastAsia="en-US"/>
              </w:rPr>
              <w:t>0,0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абсолютное значение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0</w:t>
            </w:r>
          </w:p>
        </w:tc>
      </w:tr>
      <w:tr w:rsidR="00AE384B" w:rsidRPr="00592377" w:rsidTr="00D6535E">
        <w:trPr>
          <w:trHeight w:val="20"/>
        </w:trPr>
        <w:tc>
          <w:tcPr>
            <w:tcW w:w="5000" w:type="pct"/>
            <w:gridSpan w:val="6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Критерии доступности медицинской помощи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31,1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32</w:t>
            </w:r>
            <w:r>
              <w:rPr>
                <w:lang w:eastAsia="en-US"/>
              </w:rPr>
              <w:t>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32</w:t>
            </w:r>
            <w:r>
              <w:rPr>
                <w:lang w:eastAsia="en-US"/>
              </w:rPr>
              <w:t>,2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врачами на 10 тыс. человек городского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городского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23,5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23,9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обеспеченность населения врачами на 10 тыс. человек </w:t>
            </w:r>
            <w:r w:rsidRPr="00592377">
              <w:rPr>
                <w:lang w:eastAsia="en-US"/>
              </w:rPr>
              <w:lastRenderedPageBreak/>
              <w:t>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 xml:space="preserve">на 10 тыс. человек сельского </w:t>
            </w:r>
            <w:r w:rsidRPr="00592377">
              <w:rPr>
                <w:lang w:eastAsia="en-US"/>
              </w:rPr>
              <w:lastRenderedPageBreak/>
              <w:t>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8,0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8,1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</w:t>
            </w:r>
            <w:r>
              <w:rPr>
                <w:lang w:eastAsia="en-US"/>
              </w:rPr>
              <w:t>2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амбулаторных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14,9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15,</w:t>
            </w:r>
            <w:r>
              <w:rPr>
                <w:lang w:eastAsia="en-US"/>
              </w:rPr>
              <w:t>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11,5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11,5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11,</w:t>
            </w:r>
            <w:r>
              <w:rPr>
                <w:lang w:eastAsia="en-US"/>
              </w:rPr>
              <w:t>6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89,0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90,5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9</w:t>
            </w:r>
            <w:r>
              <w:rPr>
                <w:lang w:eastAsia="en-US"/>
              </w:rPr>
              <w:t>1</w:t>
            </w:r>
            <w:r w:rsidRPr="005923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средним медицинским персоналом на 10 тыс. человек городского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городского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63,7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64,0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64,</w:t>
            </w:r>
            <w:r>
              <w:t>2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обеспеченность населения средним медицинским персоналом на 10 тыс. человек сельского населения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сельского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28,0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28,5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28,</w:t>
            </w:r>
            <w:r>
              <w:t>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амбулаторных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40,4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40,5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40,</w:t>
            </w:r>
            <w:r>
              <w:t>7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стационарных условиях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41,0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41,7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t>41,</w:t>
            </w:r>
            <w:r>
              <w:t>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8,7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8,8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8,</w:t>
            </w:r>
            <w:r>
              <w:rPr>
                <w:lang w:eastAsia="en-US"/>
              </w:rPr>
              <w:t>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расходов </w:t>
            </w:r>
            <w:proofErr w:type="gramStart"/>
            <w:r w:rsidRPr="00592377">
              <w:rPr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2,3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86,0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87,0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87,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охвата профилактическими медицинскими осмотрами взрослого населения, в том числе городских и сельских жителей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82,0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83,0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83,</w:t>
            </w:r>
            <w:r>
              <w:rPr>
                <w:lang w:eastAsia="en-US"/>
              </w:rPr>
              <w:t>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городское 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86,5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86,</w:t>
            </w:r>
            <w:r>
              <w:rPr>
                <w:lang w:eastAsia="en-US"/>
              </w:rPr>
              <w:t>8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74,1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75,0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75,</w:t>
            </w:r>
            <w:r>
              <w:rPr>
                <w:lang w:eastAsia="en-US"/>
              </w:rPr>
              <w:t>2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37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</w:t>
            </w:r>
            <w:r>
              <w:rPr>
                <w:lang w:eastAsia="en-US"/>
              </w:rPr>
              <w:t>2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городское 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85,</w:t>
            </w:r>
            <w:r>
              <w:rPr>
                <w:lang w:eastAsia="en-US"/>
              </w:rPr>
              <w:t>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сельское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70,</w:t>
            </w:r>
            <w:r>
              <w:rPr>
                <w:lang w:eastAsia="en-US"/>
              </w:rPr>
              <w:t>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38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24,0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37,0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Pr="00592377">
              <w:rPr>
                <w:lang w:eastAsia="en-US"/>
              </w:rPr>
              <w:t>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39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2,5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40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на 1000 человек сельского населения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312,0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31</w:t>
            </w:r>
            <w:r>
              <w:rPr>
                <w:lang w:eastAsia="en-US"/>
              </w:rPr>
              <w:t>0</w:t>
            </w:r>
            <w:r w:rsidRPr="00592377">
              <w:rPr>
                <w:lang w:eastAsia="en-US"/>
              </w:rPr>
              <w:t>,0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41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9,5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>
              <w:t>8,</w:t>
            </w:r>
            <w:r w:rsidRPr="00592377">
              <w:t>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>
              <w:t>8</w:t>
            </w:r>
            <w:r w:rsidRPr="00592377">
              <w:t>,</w:t>
            </w:r>
            <w:r>
              <w:t>0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42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28,0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28,5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28,</w:t>
            </w:r>
            <w:r>
              <w:t>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43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1,0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1,1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1,1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44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тыс. человек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0,05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0,055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0,055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45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 xml:space="preserve">Доля женщин, которым проведено экстракорпоральное </w:t>
            </w:r>
            <w:r w:rsidRPr="00592377">
              <w:rPr>
                <w:lang w:eastAsia="en-US"/>
              </w:rPr>
              <w:lastRenderedPageBreak/>
              <w:t>оплодотворение в общем количестве женщин с бесплодием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7,5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8,0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napToGrid w:val="0"/>
              <w:spacing w:before="40" w:line="216" w:lineRule="auto"/>
              <w:jc w:val="center"/>
            </w:pPr>
            <w:r w:rsidRPr="00592377">
              <w:t>8,</w:t>
            </w:r>
            <w:r>
              <w:t>1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lastRenderedPageBreak/>
              <w:t>46</w:t>
            </w: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outlineLvl w:val="1"/>
              <w:rPr>
                <w:lang w:eastAsia="en-US"/>
              </w:rPr>
            </w:pPr>
            <w:r w:rsidRPr="00592377">
              <w:rPr>
                <w:lang w:eastAsia="en-US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Х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на основе оценки выполнения функции врачебной должности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городской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сельской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на основе показателей рационального и целевого использования коечного фонда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AE384B" w:rsidRPr="00592377" w:rsidTr="00D6535E">
        <w:trPr>
          <w:trHeight w:val="20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городской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</w:tr>
      <w:tr w:rsidR="00AE384B" w:rsidRPr="00592377" w:rsidTr="00D6535E">
        <w:trPr>
          <w:trHeight w:val="239"/>
        </w:trPr>
        <w:tc>
          <w:tcPr>
            <w:tcW w:w="208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</w:p>
        </w:tc>
        <w:tc>
          <w:tcPr>
            <w:tcW w:w="2139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rPr>
                <w:lang w:eastAsia="en-US"/>
              </w:rPr>
            </w:pPr>
            <w:r w:rsidRPr="00592377">
              <w:rPr>
                <w:lang w:eastAsia="en-US"/>
              </w:rPr>
              <w:t>в сельской местности</w:t>
            </w:r>
          </w:p>
        </w:tc>
        <w:tc>
          <w:tcPr>
            <w:tcW w:w="1234" w:type="pct"/>
            <w:tcMar>
              <w:left w:w="57" w:type="dxa"/>
              <w:right w:w="57" w:type="dxa"/>
            </w:tcMar>
          </w:tcPr>
          <w:p w:rsidR="00AE384B" w:rsidRPr="00592377" w:rsidRDefault="00AE384B" w:rsidP="00D6535E">
            <w:pPr>
              <w:spacing w:before="40" w:line="216" w:lineRule="auto"/>
              <w:jc w:val="center"/>
            </w:pPr>
            <w:r w:rsidRPr="00592377">
              <w:rPr>
                <w:lang w:eastAsia="en-US"/>
              </w:rPr>
              <w:t>коэффициент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 w:rsidRPr="00592377">
              <w:rPr>
                <w:lang w:eastAsia="en-US"/>
              </w:rPr>
              <w:t>0,9</w:t>
            </w:r>
          </w:p>
        </w:tc>
        <w:tc>
          <w:tcPr>
            <w:tcW w:w="474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471" w:type="pct"/>
          </w:tcPr>
          <w:p w:rsidR="00AE384B" w:rsidRPr="00592377" w:rsidRDefault="00AE384B" w:rsidP="00D6535E">
            <w:pPr>
              <w:spacing w:before="4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</w:tbl>
    <w:p w:rsidR="00AE384B" w:rsidRPr="00B178FB" w:rsidRDefault="00AE384B" w:rsidP="00AE384B">
      <w:pPr>
        <w:jc w:val="center"/>
        <w:rPr>
          <w:sz w:val="28"/>
          <w:szCs w:val="28"/>
        </w:rPr>
      </w:pPr>
    </w:p>
    <w:p w:rsidR="00AE384B" w:rsidRPr="0040640D" w:rsidRDefault="00AE384B" w:rsidP="00AE384B">
      <w:pPr>
        <w:jc w:val="center"/>
        <w:rPr>
          <w:sz w:val="28"/>
          <w:szCs w:val="28"/>
        </w:rPr>
      </w:pPr>
      <w:r w:rsidRPr="00B178FB">
        <w:rPr>
          <w:sz w:val="28"/>
          <w:szCs w:val="28"/>
        </w:rPr>
        <w:t>_______</w:t>
      </w:r>
    </w:p>
    <w:p w:rsidR="00AE384B" w:rsidRDefault="00AE384B" w:rsidP="00AE384B">
      <w:pPr>
        <w:pStyle w:val="21"/>
        <w:spacing w:after="0" w:line="300" w:lineRule="auto"/>
        <w:ind w:firstLine="0"/>
        <w:rPr>
          <w:rFonts w:ascii="Times New Roman" w:hAnsi="Times New Roman"/>
          <w:sz w:val="30"/>
          <w:szCs w:val="30"/>
          <w:lang w:val="ru-RU"/>
        </w:rPr>
      </w:pPr>
    </w:p>
    <w:p w:rsidR="00641421" w:rsidRDefault="00641421"/>
    <w:sectPr w:rsidR="00641421" w:rsidSect="00AE3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384B"/>
    <w:rsid w:val="00641421"/>
    <w:rsid w:val="00A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E384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8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rsid w:val="00AE384B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22">
    <w:name w:val="Основной текст 2 Знак"/>
    <w:basedOn w:val="a0"/>
    <w:link w:val="21"/>
    <w:rsid w:val="00AE384B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2858</Words>
  <Characters>16297</Characters>
  <Application>Microsoft Office Word</Application>
  <DocSecurity>0</DocSecurity>
  <Lines>135</Lines>
  <Paragraphs>38</Paragraphs>
  <ScaleCrop>false</ScaleCrop>
  <Company>Hewlett-Packard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2020-02-19T07:32:00Z</dcterms:created>
  <dcterms:modified xsi:type="dcterms:W3CDTF">2020-02-19T07:35:00Z</dcterms:modified>
</cp:coreProperties>
</file>